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8647CBB" w:rsidR="008E29DE" w:rsidRPr="00E558C6" w:rsidRDefault="00400F5C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FEBRERO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53D21DA7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agosto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50D165D1" w14:textId="77777777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agosto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0C3BEADB" w14:textId="77777777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El presente registro refleja el total de personas atendidas en ventanilla durante dicho período, clasificadas según la comunidad lingüística declarada. Conforme a los datos recabados, el idioma español continúa siendo el de mayor uso por parte de los usuarios,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con un total de 1,905 personas atendidas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mientras que en las demás comunidades lingüísticas registradas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 se reportaron atenciones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285061A5" w:rsidR="00400F5C" w:rsidRPr="00DA4EFC" w:rsidRDefault="00400F5C" w:rsidP="00DA4EFC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1B34C868" w:rsidR="00400F5C" w:rsidRPr="00400F5C" w:rsidRDefault="000E33E5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AGOSTO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27CBD4D1" w:rsidR="00400F5C" w:rsidRPr="00400F5C" w:rsidRDefault="000E33E5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1905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2EFA7A44" w:rsidR="00400F5C" w:rsidRPr="00400F5C" w:rsidRDefault="000E33E5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1905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32D1DB97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– </w:t>
      </w:r>
      <w:r w:rsid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agosto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19C05C3B" w14:textId="77777777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agosto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1,905 personas usuarias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atendidas en ventanilla.</w:t>
      </w:r>
    </w:p>
    <w:p w14:paraId="5A1D11ED" w14:textId="6F60A655" w:rsidR="007D7A5A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1,004 corresponden al género femenino y 901 al género masculino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(53%) en comparación con hombres (47%)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69DA0B9A" w14:textId="77777777" w:rsidR="000E33E5" w:rsidRPr="00C35E33" w:rsidRDefault="000E33E5" w:rsidP="000E33E5">
      <w:p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040E9211" w:rsidR="00400F5C" w:rsidRPr="00400F5C" w:rsidRDefault="000E33E5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AGOSTO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736EC9AB" w:rsidR="00400F5C" w:rsidRPr="00400F5C" w:rsidRDefault="000E33E5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1004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4AB2D43E" w:rsidR="00400F5C" w:rsidRPr="00400F5C" w:rsidRDefault="000E33E5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901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53102F6C" w:rsidR="00400F5C" w:rsidRPr="00400F5C" w:rsidRDefault="000E33E5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1905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0E33E5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DA3978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E33E5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A3978"/>
    <w:rsid w:val="00DA4EFC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FEBRERO 2025</dc:subject>
  <dc:creator>Cindy Alejandra Echeverría Monzón</dc:creator>
  <cp:keywords/>
  <dc:description/>
  <cp:lastModifiedBy>Alma Ceron</cp:lastModifiedBy>
  <cp:revision>10</cp:revision>
  <cp:lastPrinted>2025-10-03T03:47:00Z</cp:lastPrinted>
  <dcterms:created xsi:type="dcterms:W3CDTF">2025-10-03T03:49:00Z</dcterms:created>
  <dcterms:modified xsi:type="dcterms:W3CDTF">2025-10-03T04:18:00Z</dcterms:modified>
</cp:coreProperties>
</file>